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B52" w:rsidRDefault="00940B52" w:rsidP="00940B52">
      <w:pPr>
        <w:pBdr>
          <w:bottom w:val="single" w:sz="12" w:space="1" w:color="auto"/>
        </w:pBdr>
        <w:tabs>
          <w:tab w:val="left" w:pos="-720"/>
          <w:tab w:val="left" w:pos="0"/>
          <w:tab w:val="left" w:pos="432"/>
          <w:tab w:val="left" w:pos="864"/>
          <w:tab w:val="left" w:pos="1296"/>
          <w:tab w:val="left" w:pos="1728"/>
          <w:tab w:val="left" w:pos="2160"/>
        </w:tabs>
        <w:suppressAutoHyphens/>
        <w:rPr>
          <w:rFonts w:ascii="Times New Roman" w:hAnsi="Times New Roman"/>
          <w:sz w:val="22"/>
        </w:rPr>
      </w:pPr>
    </w:p>
    <w:p w:rsidR="00940B52" w:rsidRDefault="00940B52" w:rsidP="00940B52">
      <w:pPr>
        <w:pBdr>
          <w:bottom w:val="single" w:sz="12" w:space="1" w:color="auto"/>
        </w:pBdr>
        <w:tabs>
          <w:tab w:val="left" w:pos="-720"/>
          <w:tab w:val="left" w:pos="0"/>
          <w:tab w:val="left" w:pos="432"/>
          <w:tab w:val="left" w:pos="864"/>
          <w:tab w:val="left" w:pos="1296"/>
          <w:tab w:val="left" w:pos="1728"/>
          <w:tab w:val="left" w:pos="2160"/>
        </w:tabs>
        <w:suppressAutoHyphens/>
        <w:rPr>
          <w:rFonts w:ascii="Times New Roman" w:hAnsi="Times New Roman"/>
          <w:sz w:val="22"/>
        </w:rPr>
      </w:pPr>
    </w:p>
    <w:p w:rsidR="00940B52" w:rsidRDefault="00940B52" w:rsidP="00940B52">
      <w:pPr>
        <w:tabs>
          <w:tab w:val="left" w:pos="-720"/>
          <w:tab w:val="left" w:pos="0"/>
          <w:tab w:val="left" w:pos="432"/>
          <w:tab w:val="left" w:pos="864"/>
          <w:tab w:val="left" w:pos="1296"/>
          <w:tab w:val="left" w:pos="1728"/>
          <w:tab w:val="left" w:pos="2160"/>
        </w:tabs>
        <w:suppressAutoHyphens/>
        <w:rPr>
          <w:rFonts w:ascii="Times New Roman" w:hAnsi="Times New Roman"/>
          <w:sz w:val="22"/>
        </w:rPr>
      </w:pPr>
    </w:p>
    <w:p w:rsidR="00940B52" w:rsidRPr="00AD7D75" w:rsidRDefault="00940B52" w:rsidP="00940B52">
      <w:pPr>
        <w:jc w:val="center"/>
        <w:rPr>
          <w:rFonts w:ascii="Times New Roman" w:hAnsi="Times New Roman"/>
          <w:b/>
          <w:bCs/>
          <w:color w:val="000000"/>
          <w:sz w:val="22"/>
          <w:szCs w:val="22"/>
        </w:rPr>
      </w:pPr>
      <w:r w:rsidRPr="00AD7D75">
        <w:rPr>
          <w:rFonts w:ascii="Times New Roman" w:hAnsi="Times New Roman"/>
          <w:b/>
          <w:bCs/>
          <w:color w:val="000000"/>
          <w:sz w:val="22"/>
          <w:szCs w:val="22"/>
        </w:rPr>
        <w:t>CASE</w:t>
      </w:r>
    </w:p>
    <w:p w:rsidR="00940B52" w:rsidRPr="00AD7D75" w:rsidRDefault="00940B52" w:rsidP="00940B52">
      <w:pPr>
        <w:jc w:val="center"/>
        <w:rPr>
          <w:rFonts w:ascii="Times New Roman" w:hAnsi="Times New Roman"/>
          <w:color w:val="000000"/>
          <w:sz w:val="22"/>
          <w:szCs w:val="22"/>
        </w:rPr>
      </w:pPr>
      <w:r w:rsidRPr="00AD7D75">
        <w:rPr>
          <w:rFonts w:ascii="Times New Roman" w:hAnsi="Times New Roman"/>
          <w:color w:val="000000"/>
          <w:sz w:val="22"/>
          <w:szCs w:val="22"/>
        </w:rPr>
        <w:t>CASE WESTERN RESEVE UNIVERSITY</w:t>
      </w:r>
    </w:p>
    <w:p w:rsidR="00940B52" w:rsidRPr="00AD7D75" w:rsidRDefault="00940B52" w:rsidP="00940B52">
      <w:pPr>
        <w:jc w:val="center"/>
        <w:rPr>
          <w:rFonts w:ascii="Times New Roman" w:hAnsi="Times New Roman"/>
          <w:color w:val="000000"/>
          <w:sz w:val="22"/>
          <w:szCs w:val="22"/>
        </w:rPr>
      </w:pPr>
    </w:p>
    <w:p w:rsidR="00940B52" w:rsidRPr="00AD7D75" w:rsidRDefault="00940B52" w:rsidP="00940B52">
      <w:pPr>
        <w:pStyle w:val="Heading1"/>
        <w:jc w:val="center"/>
        <w:rPr>
          <w:b w:val="0"/>
          <w:bCs/>
          <w:szCs w:val="22"/>
        </w:rPr>
      </w:pPr>
      <w:r w:rsidRPr="00AD7D75">
        <w:rPr>
          <w:b w:val="0"/>
          <w:bCs/>
          <w:szCs w:val="22"/>
        </w:rPr>
        <w:t>Institutional Biosafety Committee</w:t>
      </w:r>
    </w:p>
    <w:p w:rsidR="00940B52" w:rsidRPr="00AD7D75" w:rsidRDefault="00940B52" w:rsidP="00940B52">
      <w:pPr>
        <w:rPr>
          <w:rFonts w:ascii="Times New Roman" w:hAnsi="Times New Roman"/>
          <w:color w:val="000000"/>
          <w:sz w:val="22"/>
          <w:szCs w:val="22"/>
        </w:rPr>
      </w:pPr>
      <w:r w:rsidRPr="00AD7D75">
        <w:rPr>
          <w:rFonts w:ascii="Times New Roman" w:hAnsi="Times New Roman"/>
          <w:color w:val="000000"/>
          <w:sz w:val="22"/>
          <w:szCs w:val="22"/>
        </w:rPr>
        <w:br/>
        <w:t xml:space="preserve">As a condition of </w:t>
      </w:r>
      <w:hyperlink r:id="rId6" w:history="1">
        <w:r w:rsidRPr="00AD7D75">
          <w:rPr>
            <w:rStyle w:val="Hyperlink"/>
            <w:rFonts w:ascii="Times New Roman" w:hAnsi="Times New Roman"/>
            <w:sz w:val="22"/>
            <w:szCs w:val="22"/>
          </w:rPr>
          <w:t>National Institutes of Health</w:t>
        </w:r>
      </w:hyperlink>
      <w:r w:rsidRPr="00AD7D75">
        <w:rPr>
          <w:rFonts w:ascii="Times New Roman" w:hAnsi="Times New Roman"/>
          <w:color w:val="000000"/>
          <w:sz w:val="22"/>
          <w:szCs w:val="22"/>
        </w:rPr>
        <w:t xml:space="preserve"> (NIH) funding, institutions conducting or sponsoring recombinant DNA research that is covered by the </w:t>
      </w:r>
      <w:hyperlink r:id="rId7" w:history="1">
        <w:r w:rsidRPr="00AD7D75">
          <w:rPr>
            <w:rStyle w:val="Hyperlink"/>
            <w:rFonts w:ascii="Times New Roman" w:hAnsi="Times New Roman"/>
            <w:sz w:val="22"/>
            <w:szCs w:val="22"/>
          </w:rPr>
          <w:t>NIH Guidelines for Research Involving Recombinant DNA Molecules</w:t>
        </w:r>
      </w:hyperlink>
      <w:r w:rsidRPr="00AD7D75">
        <w:rPr>
          <w:rFonts w:ascii="Times New Roman" w:hAnsi="Times New Roman"/>
          <w:color w:val="000000"/>
          <w:sz w:val="22"/>
          <w:szCs w:val="22"/>
        </w:rPr>
        <w:t xml:space="preserve"> are responsible for ensuring that the research is conducted in compliance with the provisions of the NIH Guidelines. For this purpose</w:t>
      </w:r>
      <w:r w:rsidR="004B4016">
        <w:rPr>
          <w:rFonts w:ascii="Times New Roman" w:hAnsi="Times New Roman"/>
          <w:color w:val="000000"/>
          <w:sz w:val="22"/>
          <w:szCs w:val="22"/>
        </w:rPr>
        <w:t>,</w:t>
      </w:r>
      <w:r w:rsidRPr="00AD7D75">
        <w:rPr>
          <w:rFonts w:ascii="Times New Roman" w:hAnsi="Times New Roman"/>
          <w:color w:val="000000"/>
          <w:sz w:val="22"/>
          <w:szCs w:val="22"/>
        </w:rPr>
        <w:t xml:space="preserve"> the Institutional Biosafety Committee (IBC) was formed. Consisting of Case Western Reserve University (CWRU) faculty and community representatives, the committee is charged with the responsibility for the oversight and approval of research activities involving recombinant DNA conducted at or sponsored by CWRU, or research conducted by CWRU faculty (this includes investigators whose laboratories are located at the </w:t>
      </w:r>
      <w:r w:rsidR="004B4016">
        <w:rPr>
          <w:rFonts w:ascii="Times New Roman" w:hAnsi="Times New Roman"/>
          <w:color w:val="000000"/>
          <w:sz w:val="22"/>
          <w:szCs w:val="22"/>
        </w:rPr>
        <w:t>VA Northeast Ohio Healthcare System</w:t>
      </w:r>
      <w:r w:rsidRPr="00AD7D75">
        <w:rPr>
          <w:rFonts w:ascii="Times New Roman" w:hAnsi="Times New Roman"/>
          <w:color w:val="000000"/>
          <w:sz w:val="22"/>
          <w:szCs w:val="22"/>
        </w:rPr>
        <w:t xml:space="preserve"> - </w:t>
      </w:r>
      <w:r w:rsidR="004B4016">
        <w:rPr>
          <w:rFonts w:ascii="Times New Roman" w:hAnsi="Times New Roman"/>
          <w:color w:val="000000"/>
          <w:sz w:val="22"/>
          <w:szCs w:val="22"/>
        </w:rPr>
        <w:t>VANEOHS</w:t>
      </w:r>
      <w:r w:rsidRPr="00AD7D75">
        <w:rPr>
          <w:rFonts w:ascii="Times New Roman" w:hAnsi="Times New Roman"/>
          <w:color w:val="000000"/>
          <w:sz w:val="22"/>
          <w:szCs w:val="22"/>
        </w:rPr>
        <w:t xml:space="preserve">), staff or students.  </w:t>
      </w:r>
    </w:p>
    <w:p w:rsidR="00940B52" w:rsidRPr="00AD7D75" w:rsidRDefault="00940B52" w:rsidP="00940B52">
      <w:pPr>
        <w:rPr>
          <w:rFonts w:ascii="Times New Roman" w:hAnsi="Times New Roman"/>
          <w:color w:val="000000"/>
          <w:sz w:val="22"/>
          <w:szCs w:val="22"/>
        </w:rPr>
      </w:pPr>
      <w:r>
        <w:rPr>
          <w:rFonts w:ascii="Times New Roman" w:hAnsi="Times New Roman"/>
          <w:noProof/>
          <w:color w:val="000000"/>
          <w:sz w:val="22"/>
          <w:szCs w:val="22"/>
        </w:rPr>
        <w:drawing>
          <wp:inline distT="0" distB="0" distL="0" distR="0">
            <wp:extent cx="9525" cy="9525"/>
            <wp:effectExtent l="0" t="0" r="0" b="0"/>
            <wp:docPr id="25" name="Picture 25"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Style w:val="copytitle1"/>
          <w:rFonts w:ascii="Times New Roman" w:hAnsi="Times New Roman"/>
          <w:sz w:val="22"/>
          <w:szCs w:val="22"/>
        </w:rPr>
        <w:t>Research Projects Requiring IBC Registration</w:t>
      </w:r>
      <w:r w:rsidRPr="00AD7D75">
        <w:rPr>
          <w:rFonts w:ascii="Times New Roman" w:hAnsi="Times New Roman"/>
          <w:color w:val="000000"/>
          <w:sz w:val="22"/>
          <w:szCs w:val="22"/>
        </w:rPr>
        <w:t xml:space="preserve"> </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24" name="Picture 24"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t xml:space="preserve">Recombinant DNA research conducted at the </w:t>
      </w:r>
      <w:r w:rsidR="004B4016">
        <w:rPr>
          <w:rFonts w:ascii="Times New Roman" w:hAnsi="Times New Roman"/>
          <w:color w:val="000000"/>
          <w:sz w:val="22"/>
          <w:szCs w:val="22"/>
        </w:rPr>
        <w:t>VANEOHS</w:t>
      </w:r>
      <w:r w:rsidR="004B4016" w:rsidRPr="00AD7D75">
        <w:rPr>
          <w:rFonts w:ascii="Times New Roman" w:hAnsi="Times New Roman"/>
          <w:color w:val="000000"/>
          <w:sz w:val="22"/>
          <w:szCs w:val="22"/>
        </w:rPr>
        <w:t xml:space="preserve"> </w:t>
      </w:r>
      <w:r w:rsidRPr="00AD7D75">
        <w:rPr>
          <w:rFonts w:ascii="Times New Roman" w:hAnsi="Times New Roman"/>
          <w:color w:val="000000"/>
          <w:sz w:val="22"/>
          <w:szCs w:val="22"/>
        </w:rPr>
        <w:t xml:space="preserve">must be conducted with appropriate safeguards against environmental release and for protection of research personnel. Accordingly, VA funded and non-VA funded projects and proposals performed on-site or in leased space and which involve recombinant DNA molecules must be registered with the Case Institutional Biosafety Committee (IBC), prior to the initiation of research. The committee shall review for approval all work requiring containment at Biosafety Level-2, Biosafety Level-3, and Biosafety Level-4. See </w:t>
      </w:r>
      <w:hyperlink r:id="rId9" w:history="1">
        <w:r w:rsidRPr="00AD7D75">
          <w:rPr>
            <w:rStyle w:val="Hyperlink"/>
            <w:rFonts w:ascii="Times New Roman" w:hAnsi="Times New Roman"/>
            <w:sz w:val="22"/>
            <w:szCs w:val="22"/>
          </w:rPr>
          <w:t>Appendix G, NIH Guidelines</w:t>
        </w:r>
      </w:hyperlink>
      <w:r w:rsidRPr="00AD7D75">
        <w:rPr>
          <w:rFonts w:ascii="Times New Roman" w:hAnsi="Times New Roman"/>
          <w:color w:val="000000"/>
          <w:sz w:val="22"/>
          <w:szCs w:val="22"/>
        </w:rPr>
        <w:t xml:space="preserve"> and the CDC's </w:t>
      </w:r>
      <w:hyperlink r:id="rId10" w:history="1">
        <w:r w:rsidRPr="00AD7D75">
          <w:rPr>
            <w:rStyle w:val="Hyperlink"/>
            <w:rFonts w:ascii="Times New Roman" w:hAnsi="Times New Roman"/>
            <w:sz w:val="22"/>
            <w:szCs w:val="22"/>
          </w:rPr>
          <w:t>Biosafety in Microbiological and Biomedical Laboratories, 4th Edition</w:t>
        </w:r>
      </w:hyperlink>
      <w:r w:rsidRPr="00AD7D75">
        <w:rPr>
          <w:rFonts w:ascii="Times New Roman" w:hAnsi="Times New Roman"/>
          <w:color w:val="000000"/>
          <w:sz w:val="22"/>
          <w:szCs w:val="22"/>
        </w:rPr>
        <w:t xml:space="preserve">. </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23" name="Picture 23"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40B52" w:rsidRPr="00AD7D75" w:rsidRDefault="00940B52" w:rsidP="00940B52">
      <w:pPr>
        <w:rPr>
          <w:rFonts w:ascii="Times New Roman" w:hAnsi="Times New Roman"/>
          <w:b/>
          <w:bCs/>
          <w:i/>
          <w:iCs/>
          <w:color w:val="000000"/>
          <w:sz w:val="22"/>
          <w:szCs w:val="22"/>
        </w:rPr>
      </w:pPr>
      <w:r w:rsidRPr="00AD7D75">
        <w:rPr>
          <w:rFonts w:ascii="Times New Roman" w:hAnsi="Times New Roman"/>
          <w:b/>
          <w:bCs/>
          <w:i/>
          <w:iCs/>
          <w:color w:val="000000"/>
          <w:sz w:val="22"/>
          <w:szCs w:val="22"/>
        </w:rPr>
        <w:t>Please indicate if you are performing any of the procedures listed below.</w:t>
      </w:r>
    </w:p>
    <w:p w:rsidR="00940B52" w:rsidRPr="00AD7D75" w:rsidRDefault="00940B52" w:rsidP="00940B52">
      <w:pPr>
        <w:ind w:right="-594"/>
        <w:rPr>
          <w:rFonts w:ascii="Times New Roman" w:hAnsi="Times New Roman"/>
          <w:color w:val="000000"/>
          <w:sz w:val="22"/>
          <w:szCs w:val="22"/>
        </w:rPr>
      </w:pPr>
      <w:bookmarkStart w:id="0" w:name="_GoBack"/>
      <w:bookmarkEnd w:id="0"/>
      <w:r w:rsidRPr="00AD7D75">
        <w:rPr>
          <w:rFonts w:ascii="Times New Roman" w:hAnsi="Times New Roman"/>
          <w:color w:val="000000"/>
          <w:sz w:val="22"/>
          <w:szCs w:val="22"/>
        </w:rPr>
        <w:br/>
      </w:r>
      <w:r w:rsidRPr="00AD7D75">
        <w:rPr>
          <w:rStyle w:val="copytitle1"/>
          <w:rFonts w:ascii="Times New Roman" w:hAnsi="Times New Roman"/>
          <w:sz w:val="22"/>
          <w:szCs w:val="22"/>
        </w:rPr>
        <w:t>Experiments that Must be Registered &amp; Approved PRIOR to Initiation:</w:t>
      </w:r>
      <w:r w:rsidRPr="00AD7D75">
        <w:rPr>
          <w:rFonts w:ascii="Times New Roman" w:hAnsi="Times New Roman"/>
          <w:color w:val="000000"/>
          <w:sz w:val="22"/>
          <w:szCs w:val="22"/>
        </w:rPr>
        <w:t xml:space="preserve"> </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0"/>
            <wp:effectExtent l="0" t="0" r="0" b="0"/>
            <wp:docPr id="22" name="Picture 22"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bookmarkStart w:id="1" w:name="Check5"/>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bookmarkEnd w:id="1"/>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Cloning of DNA encoding molecules toxic to vertebrates within LD50&lt;100ng/kg body weight. </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47625"/>
            <wp:effectExtent l="0" t="0" r="0" b="0"/>
            <wp:docPr id="21" name="Picture 21"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Cloning of total DNA from all Class 2, 3, or 4 human or animal pathogens (including HIV and related viruses, and human tumor viruses).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47625"/>
            <wp:effectExtent l="0" t="0" r="0" b="0"/>
            <wp:docPr id="20" name="Picture 20"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Experiments using as vectors more than two-thirds of the genome of infectious animal or plant viruses or defective recombinant viruses grown in the presence of a helper virus.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19" name="Picture 19"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Pr>
          <w:rFonts w:ascii="Times New Roman" w:hAnsi="Times New Roman"/>
          <w:noProof/>
          <w:color w:val="000000"/>
          <w:sz w:val="22"/>
          <w:szCs w:val="22"/>
        </w:rPr>
        <w:drawing>
          <wp:inline distT="0" distB="0" distL="0" distR="0">
            <wp:extent cx="9525" cy="9525"/>
            <wp:effectExtent l="0" t="0" r="0" b="0"/>
            <wp:docPr id="18" name="Picture 18"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t>Cloning using human or animal pathogens as host-vector systems.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17" name="Picture 17"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All experiments that may generate transgenic animals, including rodents constructed or purchased, or plants which may extend the host-range of human, or animal pathogen or that require BL-2 or greater containment. </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16" name="Picture 16"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All human gene transfer experiments.</w:t>
      </w:r>
      <w:r w:rsidRPr="00AD7D75">
        <w:rPr>
          <w:rFonts w:ascii="Times New Roman" w:hAnsi="Times New Roman"/>
          <w:color w:val="000000"/>
          <w:sz w:val="22"/>
          <w:szCs w:val="22"/>
        </w:rPr>
        <w:br/>
      </w:r>
      <w:r w:rsidRPr="00AD7D75">
        <w:rPr>
          <w:rStyle w:val="copytitle1"/>
          <w:rFonts w:ascii="Times New Roman" w:hAnsi="Times New Roman"/>
          <w:sz w:val="22"/>
          <w:szCs w:val="22"/>
        </w:rPr>
        <w:t>Experiments that Require Registration Simultaneous with Initiation:</w:t>
      </w:r>
      <w:r w:rsidRPr="00AD7D75">
        <w:rPr>
          <w:rFonts w:ascii="Times New Roman" w:hAnsi="Times New Roman"/>
          <w:color w:val="000000"/>
          <w:sz w:val="22"/>
          <w:szCs w:val="22"/>
        </w:rPr>
        <w:t xml:space="preserve"> </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0"/>
            <wp:effectExtent l="0" t="0" r="0" b="0"/>
            <wp:docPr id="15" name="Picture 15"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 xml:space="preserve">Experiments using as vectors less than two-thirds of the genome of defective animal or plant </w:t>
      </w:r>
      <w:r w:rsidRPr="00AD7D75">
        <w:rPr>
          <w:rFonts w:ascii="Times New Roman" w:hAnsi="Times New Roman"/>
          <w:color w:val="000000"/>
          <w:sz w:val="22"/>
          <w:szCs w:val="22"/>
        </w:rPr>
        <w:lastRenderedPageBreak/>
        <w:t>viruses, free of helper virus.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47625"/>
            <wp:effectExtent l="0" t="0" r="0" b="0"/>
            <wp:docPr id="14" name="Picture 14"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Cloning of DNA for more than one-half of the genome of Class 1 or Class 2 human or animal pathogens, or cloning of known oncogenes.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13" name="Picture 13"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Generation of transgenic animals requiring ABL-1 containment.</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12" name="Picture 12"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Experiments involving whole plants.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0"/>
            <wp:effectExtent l="0" t="0" r="0" b="0"/>
            <wp:docPr id="11" name="Picture 11"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Style w:val="copytitle1"/>
          <w:rFonts w:ascii="Times New Roman" w:hAnsi="Times New Roman"/>
          <w:sz w:val="22"/>
          <w:szCs w:val="22"/>
        </w:rPr>
        <w:t xml:space="preserve">Exempt Experiments that </w:t>
      </w:r>
      <w:r w:rsidRPr="00AD7D75">
        <w:rPr>
          <w:rStyle w:val="copytitle1"/>
          <w:rFonts w:ascii="Times New Roman" w:hAnsi="Times New Roman"/>
          <w:i/>
          <w:iCs/>
          <w:sz w:val="22"/>
          <w:szCs w:val="22"/>
          <w:u w:val="single"/>
        </w:rPr>
        <w:t>Do Not</w:t>
      </w:r>
      <w:r w:rsidRPr="00AD7D75">
        <w:rPr>
          <w:rStyle w:val="copytitle1"/>
          <w:rFonts w:ascii="Times New Roman" w:hAnsi="Times New Roman"/>
          <w:sz w:val="22"/>
          <w:szCs w:val="22"/>
        </w:rPr>
        <w:t xml:space="preserve"> Require Registration:</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0"/>
            <wp:effectExtent l="0" t="0" r="0" b="0"/>
            <wp:docPr id="10" name="Picture 10"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D7D75">
        <w:rPr>
          <w:rFonts w:ascii="Times New Roman" w:hAnsi="Times New Roman"/>
          <w:color w:val="000000"/>
          <w:sz w:val="22"/>
          <w:szCs w:val="22"/>
        </w:rPr>
        <w:br/>
        <w:t xml:space="preserve">Refer to the </w:t>
      </w:r>
      <w:hyperlink r:id="rId11" w:anchor="_Toc7261577" w:history="1">
        <w:r w:rsidRPr="00AD7D75">
          <w:rPr>
            <w:rStyle w:val="Hyperlink"/>
            <w:rFonts w:ascii="Times New Roman" w:hAnsi="Times New Roman"/>
            <w:sz w:val="22"/>
            <w:szCs w:val="22"/>
          </w:rPr>
          <w:t>Guidelines, Section III-F</w:t>
        </w:r>
      </w:hyperlink>
      <w:r w:rsidRPr="00AD7D75">
        <w:rPr>
          <w:rFonts w:ascii="Times New Roman" w:hAnsi="Times New Roman"/>
          <w:color w:val="000000"/>
          <w:sz w:val="22"/>
          <w:szCs w:val="22"/>
        </w:rPr>
        <w:t xml:space="preserve"> for a detailed explanation of exempt experiments not requiring registration with the IBC.</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47625"/>
            <wp:effectExtent l="0" t="0" r="0" b="0"/>
            <wp:docPr id="9" name="Picture 9"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D7D75">
        <w:rPr>
          <w:rFonts w:ascii="Times New Roman" w:hAnsi="Times New Roman"/>
          <w:color w:val="000000"/>
          <w:sz w:val="22"/>
          <w:szCs w:val="22"/>
        </w:rPr>
        <w:br/>
        <w:t>Typical exempt experiments are:</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0"/>
            <wp:effectExtent l="0" t="0" r="0" b="0"/>
            <wp:docPr id="8" name="Picture 8"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Expression of proteins in prokaryotic hosts as long as culture volume is less than 10 liters, the protein is nontoxic and the source DNA is not from a classified pathogen.</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47625"/>
            <wp:effectExtent l="0" t="0" r="0" b="0"/>
            <wp:docPr id="7" name="Picture 7"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Expression of genes from either prokaryotic or eukaryotic sources when introduced in vertebrate cells in culture as long as the vector contains less than 2/3 of a viral genome, cannot be packaged into a viral particle, and cannot replicate autonomously.</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6" name="Picture 6"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Expression of genes in yeasts unless the source of DNA is from a classified pathogen.</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5" name="Picture 5"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Pr>
          <w:rFonts w:ascii="Times New Roman" w:hAnsi="Times New Roman"/>
          <w:noProof/>
          <w:color w:val="000000"/>
          <w:sz w:val="22"/>
          <w:szCs w:val="22"/>
        </w:rPr>
        <w:drawing>
          <wp:inline distT="0" distB="0" distL="0" distR="0">
            <wp:extent cx="9525" cy="9525"/>
            <wp:effectExtent l="0" t="0" r="0" b="0"/>
            <wp:docPr id="4" name="Picture 4"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t>Generation of transgenic flies or fish unless the source of DNA is from a classified pathogen.</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3" name="Picture 3"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 xml:space="preserve">Cloning of all other DNA in </w:t>
      </w:r>
      <w:r w:rsidRPr="00AD7D75">
        <w:rPr>
          <w:rFonts w:ascii="Times New Roman" w:hAnsi="Times New Roman"/>
          <w:i/>
          <w:iCs/>
          <w:color w:val="000000"/>
          <w:sz w:val="22"/>
          <w:szCs w:val="22"/>
        </w:rPr>
        <w:t>E. coli</w:t>
      </w:r>
      <w:r w:rsidRPr="00AD7D75">
        <w:rPr>
          <w:rFonts w:ascii="Times New Roman" w:hAnsi="Times New Roman"/>
          <w:color w:val="000000"/>
          <w:sz w:val="22"/>
          <w:szCs w:val="22"/>
        </w:rPr>
        <w:t xml:space="preserve"> K12, </w:t>
      </w:r>
      <w:r w:rsidRPr="00AD7D75">
        <w:rPr>
          <w:rFonts w:ascii="Times New Roman" w:hAnsi="Times New Roman"/>
          <w:i/>
          <w:iCs/>
          <w:color w:val="000000"/>
          <w:sz w:val="22"/>
          <w:szCs w:val="22"/>
        </w:rPr>
        <w:t>S. cervisiae</w:t>
      </w:r>
      <w:r w:rsidRPr="00AD7D75">
        <w:rPr>
          <w:rFonts w:ascii="Times New Roman" w:hAnsi="Times New Roman"/>
          <w:color w:val="000000"/>
          <w:sz w:val="22"/>
          <w:szCs w:val="22"/>
        </w:rPr>
        <w:t xml:space="preserve">, and </w:t>
      </w:r>
      <w:r w:rsidRPr="00AD7D75">
        <w:rPr>
          <w:rFonts w:ascii="Times New Roman" w:hAnsi="Times New Roman"/>
          <w:i/>
          <w:iCs/>
          <w:color w:val="000000"/>
          <w:sz w:val="22"/>
          <w:szCs w:val="22"/>
        </w:rPr>
        <w:t>B. subtilis</w:t>
      </w:r>
      <w:r w:rsidRPr="00AD7D75">
        <w:rPr>
          <w:rFonts w:ascii="Times New Roman" w:hAnsi="Times New Roman"/>
          <w:color w:val="000000"/>
          <w:sz w:val="22"/>
          <w:szCs w:val="22"/>
        </w:rPr>
        <w:t xml:space="preserve"> host-vector systems (with the exception of DNA from Class 2, 3, or 4 pathogens).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47625"/>
            <wp:effectExtent l="0" t="0" r="0" b="0"/>
            <wp:docPr id="2" name="Picture 2"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Introduction into cultured cells of any recombinant DNA containing less than half of a eukaryotic viral genome (with the exception of Class 2, 3, or 4 pathogens).</w:t>
      </w:r>
      <w:r w:rsidRPr="00AD7D75">
        <w:rPr>
          <w:rFonts w:ascii="Times New Roman" w:hAnsi="Times New Roman"/>
          <w:color w:val="000000"/>
          <w:sz w:val="22"/>
          <w:szCs w:val="22"/>
        </w:rPr>
        <w:br/>
      </w:r>
      <w:r>
        <w:rPr>
          <w:rFonts w:ascii="Times New Roman" w:hAnsi="Times New Roman"/>
          <w:noProof/>
          <w:color w:val="000000"/>
          <w:sz w:val="22"/>
          <w:szCs w:val="22"/>
        </w:rPr>
        <w:drawing>
          <wp:inline distT="0" distB="0" distL="0" distR="0">
            <wp:extent cx="9525" cy="9525"/>
            <wp:effectExtent l="0" t="0" r="0" b="0"/>
            <wp:docPr id="1" name="Picture 1" descr="gen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n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7D75">
        <w:rPr>
          <w:rFonts w:ascii="Times New Roman" w:hAnsi="Times New Roman"/>
          <w:color w:val="000000"/>
          <w:sz w:val="22"/>
          <w:szCs w:val="22"/>
        </w:rPr>
        <w:br/>
      </w:r>
      <w:r w:rsidRPr="00AD7D75">
        <w:rPr>
          <w:rFonts w:ascii="Times New Roman" w:hAnsi="Times New Roman"/>
          <w:snapToGrid w:val="0"/>
          <w:sz w:val="22"/>
          <w:szCs w:val="22"/>
        </w:rPr>
        <w:t xml:space="preserve">YES  </w:t>
      </w:r>
      <w:r w:rsidRPr="00AD7D75">
        <w:rPr>
          <w:rFonts w:ascii="Times New Roman" w:hAnsi="Times New Roman"/>
          <w:snapToGrid w:val="0"/>
          <w:sz w:val="22"/>
          <w:szCs w:val="22"/>
        </w:rPr>
        <w:fldChar w:fldCharType="begin">
          <w:ffData>
            <w:name w:val="Check5"/>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NO  </w:t>
      </w:r>
      <w:r w:rsidRPr="00AD7D75">
        <w:rPr>
          <w:rFonts w:ascii="Times New Roman" w:hAnsi="Times New Roman"/>
          <w:snapToGrid w:val="0"/>
          <w:sz w:val="22"/>
          <w:szCs w:val="22"/>
        </w:rPr>
        <w:fldChar w:fldCharType="begin">
          <w:ffData>
            <w:name w:val="Check2"/>
            <w:enabled/>
            <w:calcOnExit w:val="0"/>
            <w:checkBox>
              <w:sizeAuto/>
              <w:default w:val="0"/>
            </w:checkBox>
          </w:ffData>
        </w:fldChar>
      </w:r>
      <w:r w:rsidRPr="00AD7D75">
        <w:rPr>
          <w:rFonts w:ascii="Times New Roman" w:hAnsi="Times New Roman"/>
          <w:snapToGrid w:val="0"/>
          <w:sz w:val="22"/>
          <w:szCs w:val="22"/>
        </w:rPr>
        <w:instrText xml:space="preserve"> FORMCHECKBOX </w:instrText>
      </w:r>
      <w:r w:rsidR="004B4016">
        <w:rPr>
          <w:rFonts w:ascii="Times New Roman" w:hAnsi="Times New Roman"/>
          <w:snapToGrid w:val="0"/>
          <w:sz w:val="22"/>
          <w:szCs w:val="22"/>
        </w:rPr>
      </w:r>
      <w:r w:rsidR="004B4016">
        <w:rPr>
          <w:rFonts w:ascii="Times New Roman" w:hAnsi="Times New Roman"/>
          <w:snapToGrid w:val="0"/>
          <w:sz w:val="22"/>
          <w:szCs w:val="22"/>
        </w:rPr>
        <w:fldChar w:fldCharType="separate"/>
      </w:r>
      <w:r w:rsidRPr="00AD7D75">
        <w:rPr>
          <w:rFonts w:ascii="Times New Roman" w:hAnsi="Times New Roman"/>
          <w:snapToGrid w:val="0"/>
          <w:sz w:val="22"/>
          <w:szCs w:val="22"/>
        </w:rPr>
        <w:fldChar w:fldCharType="end"/>
      </w:r>
      <w:r w:rsidRPr="00AD7D75">
        <w:rPr>
          <w:rFonts w:ascii="Times New Roman" w:hAnsi="Times New Roman"/>
          <w:snapToGrid w:val="0"/>
          <w:sz w:val="22"/>
          <w:szCs w:val="22"/>
        </w:rPr>
        <w:t xml:space="preserve">  </w:t>
      </w:r>
      <w:r w:rsidRPr="00AD7D75">
        <w:rPr>
          <w:rFonts w:ascii="Times New Roman" w:hAnsi="Times New Roman"/>
          <w:color w:val="000000"/>
          <w:sz w:val="22"/>
          <w:szCs w:val="22"/>
        </w:rPr>
        <w:t>Purchase or transfer of transgenic rodents except those requiring BL-2 or higher containment.</w:t>
      </w:r>
    </w:p>
    <w:p w:rsidR="00940B52" w:rsidRPr="00AD7D75" w:rsidRDefault="00940B52" w:rsidP="00940B52">
      <w:pPr>
        <w:pStyle w:val="Heading2"/>
        <w:rPr>
          <w:rFonts w:ascii="Times New Roman" w:hAnsi="Times New Roman" w:cs="Times New Roman"/>
          <w:sz w:val="22"/>
          <w:szCs w:val="22"/>
        </w:rPr>
      </w:pPr>
      <w:r w:rsidRPr="00AD7D75">
        <w:rPr>
          <w:rFonts w:ascii="Times New Roman" w:hAnsi="Times New Roman" w:cs="Times New Roman"/>
          <w:sz w:val="22"/>
          <w:szCs w:val="22"/>
        </w:rPr>
        <w:t>Acknowledgement of Responsibility and Knowledge of Work Involving recombinant DNA</w:t>
      </w:r>
    </w:p>
    <w:p w:rsidR="00940B52" w:rsidRPr="00AD7D75" w:rsidRDefault="00940B52" w:rsidP="002D542B">
      <w:pPr>
        <w:pBdr>
          <w:top w:val="single" w:sz="4" w:space="1" w:color="auto"/>
          <w:left w:val="single" w:sz="4" w:space="4" w:color="auto"/>
          <w:bottom w:val="single" w:sz="4" w:space="1" w:color="auto"/>
          <w:right w:val="single" w:sz="4" w:space="4" w:color="auto"/>
        </w:pBdr>
        <w:tabs>
          <w:tab w:val="left" w:pos="450"/>
          <w:tab w:val="left" w:pos="4140"/>
          <w:tab w:val="left" w:pos="9000"/>
          <w:tab w:val="right" w:pos="10260"/>
          <w:tab w:val="right" w:pos="12495"/>
        </w:tabs>
        <w:rPr>
          <w:rFonts w:ascii="Times New Roman" w:hAnsi="Times New Roman"/>
          <w:snapToGrid w:val="0"/>
          <w:sz w:val="22"/>
          <w:szCs w:val="22"/>
        </w:rPr>
      </w:pPr>
      <w:r w:rsidRPr="00AD7D75">
        <w:rPr>
          <w:rFonts w:ascii="Times New Roman" w:hAnsi="Times New Roman"/>
          <w:b/>
          <w:snapToGrid w:val="0"/>
          <w:sz w:val="22"/>
          <w:szCs w:val="22"/>
        </w:rPr>
        <w:br/>
      </w:r>
      <w:r w:rsidRPr="00AD7D75">
        <w:rPr>
          <w:rFonts w:ascii="Times New Roman" w:hAnsi="Times New Roman"/>
          <w:snapToGrid w:val="0"/>
          <w:sz w:val="22"/>
          <w:szCs w:val="22"/>
        </w:rPr>
        <w:t>I certify that my research studies will be conducted in compliance with and full knowledge of Federal, State and local policies, regulations and CDC</w:t>
      </w:r>
      <w:r w:rsidRPr="00AD7D75">
        <w:rPr>
          <w:rFonts w:ascii="Times New Roman" w:hAnsi="Times New Roman"/>
          <w:snapToGrid w:val="0"/>
          <w:sz w:val="22"/>
          <w:szCs w:val="22"/>
        </w:rPr>
        <w:noBreakHyphen/>
        <w:t xml:space="preserve">NIH Guidelines governing the use of recombinant DNA.  I further certify that all technical and incidental workers involved with my research studies will be aware of potential hazards, the degree of personal risk (if any), and will receive instructions and training on the proper handling and use of rDNA. </w:t>
      </w:r>
      <w:r w:rsidRPr="00AD7D75">
        <w:rPr>
          <w:rFonts w:ascii="Times New Roman" w:hAnsi="Times New Roman"/>
          <w:snapToGrid w:val="0"/>
          <w:sz w:val="22"/>
          <w:szCs w:val="22"/>
        </w:rPr>
        <w:br/>
      </w:r>
      <w:r w:rsidRPr="00AD7D75">
        <w:rPr>
          <w:rFonts w:ascii="Times New Roman" w:hAnsi="Times New Roman"/>
          <w:b/>
          <w:snapToGrid w:val="0"/>
          <w:sz w:val="22"/>
          <w:szCs w:val="22"/>
        </w:rPr>
        <w:br/>
        <w:t xml:space="preserve">Principal Investigator's Signature: </w:t>
      </w:r>
      <w:r w:rsidRPr="00AD7D75">
        <w:rPr>
          <w:rFonts w:ascii="Times New Roman" w:hAnsi="Times New Roman"/>
          <w:b/>
          <w:bCs/>
          <w:sz w:val="22"/>
          <w:szCs w:val="22"/>
          <w:u w:val="single"/>
        </w:rPr>
        <w:t xml:space="preserve">______________________________________ </w:t>
      </w:r>
      <w:r w:rsidRPr="00AD7D75">
        <w:rPr>
          <w:rFonts w:ascii="Times New Roman" w:hAnsi="Times New Roman"/>
          <w:b/>
          <w:bCs/>
          <w:sz w:val="22"/>
          <w:szCs w:val="22"/>
        </w:rPr>
        <w:t xml:space="preserve">Date: </w:t>
      </w:r>
      <w:r w:rsidRPr="00AD7D75">
        <w:rPr>
          <w:rFonts w:ascii="Times New Roman" w:hAnsi="Times New Roman"/>
          <w:b/>
          <w:bCs/>
          <w:sz w:val="22"/>
          <w:szCs w:val="22"/>
          <w:u w:val="single"/>
        </w:rPr>
        <w:t>_______</w:t>
      </w:r>
      <w:r w:rsidR="00BA0138">
        <w:rPr>
          <w:rFonts w:ascii="Times New Roman" w:hAnsi="Times New Roman"/>
          <w:b/>
          <w:snapToGrid w:val="0"/>
          <w:sz w:val="22"/>
          <w:szCs w:val="22"/>
        </w:rPr>
        <w:br/>
      </w:r>
      <w:r w:rsidR="00BA0138">
        <w:rPr>
          <w:rFonts w:ascii="Times New Roman" w:hAnsi="Times New Roman"/>
          <w:b/>
          <w:snapToGrid w:val="0"/>
          <w:sz w:val="22"/>
          <w:szCs w:val="22"/>
        </w:rPr>
        <w:tab/>
        <w:t xml:space="preserve">                                                              </w:t>
      </w:r>
      <w:r w:rsidR="002D542B" w:rsidRPr="002D542B">
        <w:rPr>
          <w:rFonts w:ascii="Times New Roman" w:hAnsi="Times New Roman"/>
          <w:b/>
          <w:snapToGrid w:val="0"/>
          <w:sz w:val="22"/>
          <w:szCs w:val="22"/>
        </w:rPr>
        <w:tab/>
      </w:r>
    </w:p>
    <w:p w:rsidR="007544F5" w:rsidRDefault="007544F5"/>
    <w:sectPr w:rsidR="00754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6AF" w:rsidRDefault="002646AF" w:rsidP="002646AF">
      <w:r>
        <w:separator/>
      </w:r>
    </w:p>
  </w:endnote>
  <w:endnote w:type="continuationSeparator" w:id="0">
    <w:p w:rsidR="002646AF" w:rsidRDefault="002646AF" w:rsidP="0026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6AF" w:rsidRDefault="002646AF" w:rsidP="002646AF">
      <w:r>
        <w:separator/>
      </w:r>
    </w:p>
  </w:footnote>
  <w:footnote w:type="continuationSeparator" w:id="0">
    <w:p w:rsidR="002646AF" w:rsidRDefault="002646AF" w:rsidP="00264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52"/>
    <w:rsid w:val="0005102B"/>
    <w:rsid w:val="002646AF"/>
    <w:rsid w:val="002D542B"/>
    <w:rsid w:val="004B4016"/>
    <w:rsid w:val="007544F5"/>
    <w:rsid w:val="00940B52"/>
    <w:rsid w:val="00BA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68E9E"/>
  <w15:docId w15:val="{5890910D-E8FB-47B5-B248-F1FEA208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B52"/>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940B52"/>
    <w:pPr>
      <w:keepNext/>
      <w:tabs>
        <w:tab w:val="left" w:pos="0"/>
        <w:tab w:val="left" w:pos="432"/>
        <w:tab w:val="left" w:pos="864"/>
        <w:tab w:val="left" w:pos="1296"/>
        <w:tab w:val="left" w:pos="1728"/>
        <w:tab w:val="left" w:pos="2160"/>
        <w:tab w:val="center" w:pos="4968"/>
      </w:tabs>
      <w:suppressAutoHyphens/>
      <w:outlineLvl w:val="0"/>
    </w:pPr>
    <w:rPr>
      <w:rFonts w:ascii="Times New Roman" w:hAnsi="Times New Roman"/>
      <w:b/>
      <w:sz w:val="22"/>
    </w:rPr>
  </w:style>
  <w:style w:type="paragraph" w:styleId="Heading2">
    <w:name w:val="heading 2"/>
    <w:basedOn w:val="Normal"/>
    <w:next w:val="Normal"/>
    <w:link w:val="Heading2Char"/>
    <w:qFormat/>
    <w:rsid w:val="00940B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B52"/>
    <w:rPr>
      <w:rFonts w:ascii="Times New Roman" w:eastAsia="Times New Roman" w:hAnsi="Times New Roman" w:cs="Times New Roman"/>
      <w:b/>
      <w:szCs w:val="20"/>
    </w:rPr>
  </w:style>
  <w:style w:type="character" w:customStyle="1" w:styleId="Heading2Char">
    <w:name w:val="Heading 2 Char"/>
    <w:basedOn w:val="DefaultParagraphFont"/>
    <w:link w:val="Heading2"/>
    <w:rsid w:val="00940B52"/>
    <w:rPr>
      <w:rFonts w:ascii="Arial" w:eastAsia="Times New Roman" w:hAnsi="Arial" w:cs="Arial"/>
      <w:b/>
      <w:bCs/>
      <w:i/>
      <w:iCs/>
      <w:sz w:val="28"/>
      <w:szCs w:val="28"/>
    </w:rPr>
  </w:style>
  <w:style w:type="character" w:styleId="Hyperlink">
    <w:name w:val="Hyperlink"/>
    <w:rsid w:val="00940B52"/>
    <w:rPr>
      <w:color w:val="0033CC"/>
      <w:u w:val="single"/>
    </w:rPr>
  </w:style>
  <w:style w:type="character" w:customStyle="1" w:styleId="copytitle1">
    <w:name w:val="copytitle1"/>
    <w:rsid w:val="00940B52"/>
    <w:rPr>
      <w:rFonts w:ascii="Verdana" w:hAnsi="Verdana" w:hint="default"/>
      <w:b/>
      <w:bCs/>
      <w:color w:val="000000"/>
      <w:sz w:val="26"/>
      <w:szCs w:val="26"/>
    </w:rPr>
  </w:style>
  <w:style w:type="paragraph" w:styleId="BalloonText">
    <w:name w:val="Balloon Text"/>
    <w:basedOn w:val="Normal"/>
    <w:link w:val="BalloonTextChar"/>
    <w:uiPriority w:val="99"/>
    <w:semiHidden/>
    <w:unhideWhenUsed/>
    <w:rsid w:val="00940B52"/>
    <w:rPr>
      <w:rFonts w:ascii="Tahoma" w:hAnsi="Tahoma" w:cs="Tahoma"/>
      <w:sz w:val="16"/>
      <w:szCs w:val="16"/>
    </w:rPr>
  </w:style>
  <w:style w:type="character" w:customStyle="1" w:styleId="BalloonTextChar">
    <w:name w:val="Balloon Text Char"/>
    <w:basedOn w:val="DefaultParagraphFont"/>
    <w:link w:val="BalloonText"/>
    <w:uiPriority w:val="99"/>
    <w:semiHidden/>
    <w:rsid w:val="00940B52"/>
    <w:rPr>
      <w:rFonts w:ascii="Tahoma" w:eastAsia="Times New Roman" w:hAnsi="Tahoma" w:cs="Tahoma"/>
      <w:sz w:val="16"/>
      <w:szCs w:val="16"/>
    </w:rPr>
  </w:style>
  <w:style w:type="paragraph" w:styleId="Header">
    <w:name w:val="header"/>
    <w:basedOn w:val="Normal"/>
    <w:link w:val="HeaderChar"/>
    <w:uiPriority w:val="99"/>
    <w:unhideWhenUsed/>
    <w:rsid w:val="002646AF"/>
    <w:pPr>
      <w:tabs>
        <w:tab w:val="center" w:pos="4680"/>
        <w:tab w:val="right" w:pos="9360"/>
      </w:tabs>
    </w:pPr>
  </w:style>
  <w:style w:type="character" w:customStyle="1" w:styleId="HeaderChar">
    <w:name w:val="Header Char"/>
    <w:basedOn w:val="DefaultParagraphFont"/>
    <w:link w:val="Header"/>
    <w:uiPriority w:val="99"/>
    <w:rsid w:val="002646AF"/>
    <w:rPr>
      <w:rFonts w:ascii="Courier" w:eastAsia="Times New Roman" w:hAnsi="Courier" w:cs="Times New Roman"/>
      <w:sz w:val="24"/>
      <w:szCs w:val="20"/>
    </w:rPr>
  </w:style>
  <w:style w:type="paragraph" w:styleId="Footer">
    <w:name w:val="footer"/>
    <w:basedOn w:val="Normal"/>
    <w:link w:val="FooterChar"/>
    <w:uiPriority w:val="99"/>
    <w:unhideWhenUsed/>
    <w:rsid w:val="002646AF"/>
    <w:pPr>
      <w:tabs>
        <w:tab w:val="center" w:pos="4680"/>
        <w:tab w:val="right" w:pos="9360"/>
      </w:tabs>
    </w:pPr>
  </w:style>
  <w:style w:type="character" w:customStyle="1" w:styleId="FooterChar">
    <w:name w:val="Footer Char"/>
    <w:basedOn w:val="DefaultParagraphFont"/>
    <w:link w:val="Footer"/>
    <w:uiPriority w:val="99"/>
    <w:rsid w:val="002646AF"/>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4.od.nih.gov/oba/rac/guidelines/guidelin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h.gov/" TargetMode="External"/><Relationship Id="rId11" Type="http://schemas.openxmlformats.org/officeDocument/2006/relationships/hyperlink" Target="http://www4.od.nih.gov/oba/rac/guidelines_02/NIH_Guidelines_Apr_02.htm" TargetMode="External"/><Relationship Id="rId5" Type="http://schemas.openxmlformats.org/officeDocument/2006/relationships/endnotes" Target="endnotes.xml"/><Relationship Id="rId10" Type="http://schemas.openxmlformats.org/officeDocument/2006/relationships/hyperlink" Target="http://www.cdc.gov/od/ohs/biosfty/bmbl4/bmbl4toc.htm" TargetMode="External"/><Relationship Id="rId4" Type="http://schemas.openxmlformats.org/officeDocument/2006/relationships/footnotes" Target="footnotes.xml"/><Relationship Id="rId9" Type="http://schemas.openxmlformats.org/officeDocument/2006/relationships/hyperlink" Target="http://www4.od.nih.gov/oba/RAC/guidelines_02/appendix_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John M. (VHACLE)</dc:creator>
  <cp:lastModifiedBy>Polito, Rebecca R. (VHACLE)</cp:lastModifiedBy>
  <cp:revision>6</cp:revision>
  <dcterms:created xsi:type="dcterms:W3CDTF">2016-02-09T18:39:00Z</dcterms:created>
  <dcterms:modified xsi:type="dcterms:W3CDTF">2019-02-13T20:53:00Z</dcterms:modified>
</cp:coreProperties>
</file>